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E29" w:rsidRDefault="00864E29" w:rsidP="00864E29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№8</w:t>
      </w:r>
    </w:p>
    <w:p w:rsidR="00864E29" w:rsidRDefault="00864E29" w:rsidP="00864E29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4C0EF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F37CA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Pr="004C0EF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гипертензии и гипотонии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F0A">
        <w:rPr>
          <w:rFonts w:ascii="Times New Roman" w:hAnsi="Times New Roman" w:cs="Times New Roman"/>
          <w:i/>
          <w:sz w:val="28"/>
          <w:szCs w:val="28"/>
        </w:rPr>
        <w:t>Гипертоническая болезнь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- это хроническое заболевание, при котором артериальное давление (АД) превышает границы нормы, установленные Комитетом экспертов Всемирной организации здравоохранения (ВОЗ): АД систолическое - в пределах 110-</w:t>
      </w:r>
      <w:smartTag w:uri="urn:schemas-microsoft-com:office:smarttags" w:element="metricconverter">
        <w:smartTagPr>
          <w:attr w:name="ProductID" w:val="140 мм"/>
        </w:smartTagPr>
        <w:r w:rsidRPr="00C70285">
          <w:rPr>
            <w:rFonts w:ascii="Times New Roman" w:hAnsi="Times New Roman" w:cs="Times New Roman"/>
            <w:i/>
            <w:sz w:val="28"/>
            <w:szCs w:val="28"/>
          </w:rPr>
          <w:t xml:space="preserve">140 </w:t>
        </w:r>
        <w:proofErr w:type="spellStart"/>
        <w:r w:rsidRPr="00C70285">
          <w:rPr>
            <w:rFonts w:ascii="Times New Roman" w:hAnsi="Times New Roman" w:cs="Times New Roman"/>
            <w:i/>
            <w:sz w:val="28"/>
            <w:szCs w:val="28"/>
          </w:rPr>
          <w:t>мм</w:t>
        </w:r>
      </w:smartTag>
      <w:r w:rsidRPr="00C70285">
        <w:rPr>
          <w:rFonts w:ascii="Times New Roman" w:hAnsi="Times New Roman" w:cs="Times New Roman"/>
          <w:i/>
          <w:sz w:val="28"/>
          <w:szCs w:val="28"/>
        </w:rPr>
        <w:t>.рт.ст</w:t>
      </w:r>
      <w:proofErr w:type="spellEnd"/>
      <w:r w:rsidRPr="00C70285">
        <w:rPr>
          <w:rFonts w:ascii="Times New Roman" w:hAnsi="Times New Roman" w:cs="Times New Roman"/>
          <w:i/>
          <w:sz w:val="28"/>
          <w:szCs w:val="28"/>
        </w:rPr>
        <w:t>., АД диастолическое - в пределах 70-</w:t>
      </w:r>
      <w:smartTag w:uri="urn:schemas-microsoft-com:office:smarttags" w:element="metricconverter">
        <w:smartTagPr>
          <w:attr w:name="ProductID" w:val="90 мм"/>
        </w:smartTagPr>
        <w:r w:rsidRPr="00C70285">
          <w:rPr>
            <w:rFonts w:ascii="Times New Roman" w:hAnsi="Times New Roman" w:cs="Times New Roman"/>
            <w:i/>
            <w:sz w:val="28"/>
            <w:szCs w:val="28"/>
          </w:rPr>
          <w:t xml:space="preserve">90 </w:t>
        </w:r>
        <w:proofErr w:type="spellStart"/>
        <w:r w:rsidRPr="00C70285">
          <w:rPr>
            <w:rFonts w:ascii="Times New Roman" w:hAnsi="Times New Roman" w:cs="Times New Roman"/>
            <w:i/>
            <w:sz w:val="28"/>
            <w:szCs w:val="28"/>
          </w:rPr>
          <w:t>мм</w:t>
        </w:r>
      </w:smartTag>
      <w:r w:rsidRPr="00C70285">
        <w:rPr>
          <w:rFonts w:ascii="Times New Roman" w:hAnsi="Times New Roman" w:cs="Times New Roman"/>
          <w:i/>
          <w:sz w:val="28"/>
          <w:szCs w:val="28"/>
        </w:rPr>
        <w:t>.рт.ст</w:t>
      </w:r>
      <w:proofErr w:type="spellEnd"/>
      <w:r w:rsidRPr="00C70285">
        <w:rPr>
          <w:rFonts w:ascii="Times New Roman" w:hAnsi="Times New Roman" w:cs="Times New Roman"/>
          <w:i/>
          <w:sz w:val="28"/>
          <w:szCs w:val="28"/>
        </w:rPr>
        <w:t>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Гипертоническая болезнь - одно из наиболее распространенных заболеваний сердечно-сосудистой системы в экономически развитых странах (15-35% взрослого населения). Распространенность артериальной гипертензии среди мужчин и женщин в России составляет: в возрасте 20-29 лет - в пределах 10%; в возрасте 40-49 лет - 40%; в возрасте 50-59 лет - 50%; в возрасте 60-69 лет - 60%; в возрасте 70-79 лет - 75-80%. Повышенное АД является ведущим фактором риска смертности от сердеч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но-сосудистых заболеваний. Так, смертность от мозгового инсульта у мужчин в возраст</w:t>
      </w:r>
      <w:r>
        <w:rPr>
          <w:rFonts w:ascii="Times New Roman" w:hAnsi="Times New Roman" w:cs="Times New Roman"/>
          <w:sz w:val="28"/>
          <w:szCs w:val="28"/>
        </w:rPr>
        <w:t>е 40-59 лет - 60%, от ИБС - 40%.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Клиницисты выделяют первичную (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эссенциальную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 или истинную) ГБ и вторичную ГБ. </w:t>
      </w:r>
      <w:r w:rsidRPr="00C70285">
        <w:rPr>
          <w:rFonts w:ascii="Times New Roman" w:hAnsi="Times New Roman" w:cs="Times New Roman"/>
          <w:i/>
          <w:sz w:val="28"/>
          <w:szCs w:val="28"/>
        </w:rPr>
        <w:t>Первичная ГБ</w:t>
      </w:r>
      <w:r w:rsidRPr="00C70285">
        <w:rPr>
          <w:rFonts w:ascii="Times New Roman" w:hAnsi="Times New Roman" w:cs="Times New Roman"/>
          <w:sz w:val="28"/>
          <w:szCs w:val="28"/>
        </w:rPr>
        <w:t xml:space="preserve"> не является следствием какого-либо известного заболевания внутренних органов и систем. </w:t>
      </w:r>
      <w:r w:rsidRPr="00C70285">
        <w:rPr>
          <w:rFonts w:ascii="Times New Roman" w:hAnsi="Times New Roman" w:cs="Times New Roman"/>
          <w:i/>
          <w:sz w:val="28"/>
          <w:szCs w:val="28"/>
        </w:rPr>
        <w:t>Вторичная ГБ</w:t>
      </w:r>
      <w:r w:rsidRPr="00C70285">
        <w:rPr>
          <w:rFonts w:ascii="Times New Roman" w:hAnsi="Times New Roman" w:cs="Times New Roman"/>
          <w:sz w:val="28"/>
          <w:szCs w:val="28"/>
        </w:rPr>
        <w:t xml:space="preserve"> развивается при заболеваниях почек, эндокринных желез и др.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ГБ разделяют на три стадии. 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При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стадии</w:t>
      </w:r>
      <w:r w:rsidRPr="00C70285">
        <w:rPr>
          <w:rFonts w:ascii="Times New Roman" w:hAnsi="Times New Roman" w:cs="Times New Roman"/>
          <w:sz w:val="28"/>
          <w:szCs w:val="28"/>
        </w:rPr>
        <w:t xml:space="preserve"> АД систолическое (АДС) постоянно повышено в пределах 140-</w:t>
      </w:r>
      <w:smartTag w:uri="urn:schemas-microsoft-com:office:smarttags" w:element="metricconverter">
        <w:smartTagPr>
          <w:attr w:name="ProductID" w:val="179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179 мм</w:t>
        </w:r>
        <w:r w:rsidR="00394213">
          <w:rPr>
            <w:rFonts w:ascii="Times New Roman" w:hAnsi="Times New Roman" w:cs="Times New Roman"/>
            <w:sz w:val="28"/>
            <w:szCs w:val="28"/>
          </w:rPr>
          <w:t xml:space="preserve"> </w:t>
        </w:r>
      </w:smartTag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.; признаков органических изменений в других органах и системах орга</w:t>
      </w:r>
      <w:r w:rsidRPr="00C70285">
        <w:rPr>
          <w:rFonts w:ascii="Times New Roman" w:hAnsi="Times New Roman" w:cs="Times New Roman"/>
          <w:sz w:val="28"/>
          <w:szCs w:val="28"/>
        </w:rPr>
        <w:softHyphen/>
        <w:t xml:space="preserve">низма нет. 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При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стадии</w:t>
      </w:r>
      <w:r w:rsidRPr="00C70285">
        <w:rPr>
          <w:rFonts w:ascii="Times New Roman" w:hAnsi="Times New Roman" w:cs="Times New Roman"/>
          <w:sz w:val="28"/>
          <w:szCs w:val="28"/>
        </w:rPr>
        <w:t xml:space="preserve"> АДС постоянно повышено в пределах 180-</w:t>
      </w:r>
      <w:smartTag w:uri="urn:schemas-microsoft-com:office:smarttags" w:element="metricconverter">
        <w:smartTagPr>
          <w:attr w:name="ProductID" w:val="20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200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.; имеются гипертрофия левого желудочка, сужение сосудов сетчатки глазного дна –  при отсутствии других морфологических изменений в органах и системах организма. 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При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стадии</w:t>
      </w:r>
      <w:r w:rsidRPr="00C70285">
        <w:rPr>
          <w:rFonts w:ascii="Times New Roman" w:hAnsi="Times New Roman" w:cs="Times New Roman"/>
          <w:sz w:val="28"/>
          <w:szCs w:val="28"/>
        </w:rPr>
        <w:t xml:space="preserve"> величина АДС постоянно превышает </w:t>
      </w:r>
      <w:smartTag w:uri="urn:schemas-microsoft-com:office:smarttags" w:element="metricconverter">
        <w:smartTagPr>
          <w:attr w:name="ProductID" w:val="20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200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.; наблюдаются выраженные признаки атеросклероза с вторичным повреждением сосудов сердца, головного мозга и почек, обусловленные артериальной гипертензией.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По степени тяжести ГБ делят на </w:t>
      </w:r>
      <w:r w:rsidRPr="00C70285">
        <w:rPr>
          <w:rFonts w:ascii="Times New Roman" w:hAnsi="Times New Roman" w:cs="Times New Roman"/>
          <w:i/>
          <w:sz w:val="28"/>
          <w:szCs w:val="28"/>
        </w:rPr>
        <w:t>легкую</w:t>
      </w:r>
      <w:r w:rsidRPr="00C70285">
        <w:rPr>
          <w:rFonts w:ascii="Times New Roman" w:hAnsi="Times New Roman" w:cs="Times New Roman"/>
          <w:sz w:val="28"/>
          <w:szCs w:val="28"/>
        </w:rPr>
        <w:t xml:space="preserve"> (мягкую), умеренную и тяжелую формы. Каждая из этих форм характеризуется степенью устойчивого повышения АД ди</w:t>
      </w:r>
      <w:r w:rsidR="00394213">
        <w:rPr>
          <w:rFonts w:ascii="Times New Roman" w:hAnsi="Times New Roman" w:cs="Times New Roman"/>
          <w:sz w:val="28"/>
          <w:szCs w:val="28"/>
        </w:rPr>
        <w:t>а</w:t>
      </w:r>
      <w:r w:rsidRPr="00C70285">
        <w:rPr>
          <w:rFonts w:ascii="Times New Roman" w:hAnsi="Times New Roman" w:cs="Times New Roman"/>
          <w:sz w:val="28"/>
          <w:szCs w:val="28"/>
        </w:rPr>
        <w:t>столического (АДД): легкая форма – 90-</w:t>
      </w:r>
      <w:smartTag w:uri="urn:schemas-microsoft-com:office:smarttags" w:element="metricconverter">
        <w:smartTagPr>
          <w:attr w:name="ProductID" w:val="99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99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.; умеренная форма – 100-</w:t>
      </w:r>
      <w:smartTag w:uri="urn:schemas-microsoft-com:office:smarttags" w:element="metricconverter">
        <w:smartTagPr>
          <w:attr w:name="ProductID" w:val="114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114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.; тяжелая форма - более 115-</w:t>
      </w:r>
      <w:smartTag w:uri="urn:schemas-microsoft-com:office:smarttags" w:element="metricconverter">
        <w:smartTagPr>
          <w:attr w:name="ProductID" w:val="12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120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</w:t>
      </w:r>
    </w:p>
    <w:p w:rsidR="00864E29" w:rsidRPr="00C70285" w:rsidRDefault="00864E29" w:rsidP="00864E2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Показания и противопоказания к назначению ЛФК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ЛФК показана при различных стадиях и формах ГБ. Наиболее целесообразно применять ее в начальной стадии заболевания, когда в клинической картине преобладают явления функциональных расстройств в деятельности сердечно-сосудистой и других систем орга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низма.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lastRenderedPageBreak/>
        <w:t>Основными противопоказаниями к назначению занятий ЛФК при ГБ являются: период обострения ГБ; повышение АДС более 220-</w:t>
      </w:r>
      <w:smartTag w:uri="urn:schemas-microsoft-com:office:smarttags" w:element="metricconverter">
        <w:smartTagPr>
          <w:attr w:name="ProductID" w:val="23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230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 и АДД более </w:t>
      </w:r>
      <w:smartTag w:uri="urn:schemas-microsoft-com:office:smarttags" w:element="metricconverter">
        <w:smartTagPr>
          <w:attr w:name="ProductID" w:val="13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130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 при отсутствии его стабилизации на более низких цифрах; обострение ИБС; недостаточность кровообращения II Б степени; выраженные нарушения ритма сердца; нарушение мозгового кровообращения; почечная недостаточность; тромбозы, тромбоэмболии.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Методика ЛФК при гипертонических кризах на стационарном этапе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Как правило, госпитализации подлежат больные ГБ при обострении заболевания (гипертонический криз), при угрожающем или остро возникшем осложнении. Отличительными особенностями стационарного этапа реабилитации в настоящее время являются ранняя активизация и относительно более ранняя выписка из стационара (по сравнению с нед</w:t>
      </w:r>
      <w:r w:rsidR="00394213">
        <w:rPr>
          <w:rFonts w:ascii="Times New Roman" w:hAnsi="Times New Roman" w:cs="Times New Roman"/>
          <w:sz w:val="28"/>
          <w:szCs w:val="28"/>
        </w:rPr>
        <w:t>авним прошлым), а также примене</w:t>
      </w:r>
      <w:r w:rsidRPr="00C70285">
        <w:rPr>
          <w:rFonts w:ascii="Times New Roman" w:hAnsi="Times New Roman" w:cs="Times New Roman"/>
          <w:sz w:val="28"/>
          <w:szCs w:val="28"/>
        </w:rPr>
        <w:t>ние индивидуализированных программ физической реабилитации, что особенно важно для больных ГБ II и III стадий после купирования возникшего обострения заболевания (гипертонического криза) или осложнения ГБ.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Основной целью лечения методами и средствами ЛФК в стационарных условиях является улучшение самочувствия больного и повышение общего тонуса организма.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Задачей ЛФК на стационарном этапе</w:t>
      </w:r>
      <w:r w:rsidRPr="00C70285">
        <w:rPr>
          <w:rFonts w:ascii="Times New Roman" w:hAnsi="Times New Roman" w:cs="Times New Roman"/>
          <w:sz w:val="28"/>
          <w:szCs w:val="28"/>
        </w:rPr>
        <w:t xml:space="preserve"> является достижение такого уровня активности больного, при котором он мог бы самостоятельно обслуживать себя. В зависимости от степени тяжести заболевания, возраста больного, предшествующего уровня его физической подготовленности он должен подниматься на два и более пролета лестницы, совершать пешие прогулки на расстояние от </w:t>
      </w:r>
      <w:smartTag w:uri="urn:schemas-microsoft-com:office:smarttags" w:element="metricconverter">
        <w:smartTagPr>
          <w:attr w:name="ProductID" w:val="500 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500 м</w:t>
        </w:r>
      </w:smartTag>
      <w:r w:rsidRPr="00C70285">
        <w:rPr>
          <w:rFonts w:ascii="Times New Roman" w:hAnsi="Times New Roman" w:cs="Times New Roman"/>
          <w:sz w:val="28"/>
          <w:szCs w:val="28"/>
        </w:rPr>
        <w:t xml:space="preserve"> до 2-3км (в 2-3 приема в течение дня) – без существенных отрицательных реакции и при удовлетворительном самочувствии. Занятия ЛГ должны способствовать повышению уверенности больного в своих силах, снижению депрессии и других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неврозоподобных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 состояний, вызывать у него положительные эмоции.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Двигательные режимы больного в условиях стационара – строгий постельный, облегченный постельный, палатный и свободный.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В стационарных условиях занятия ЛФК начинаются с преимущественного использования лечения положением и лечебной гимнастики. В первой половине курса ЛФК (постельный и палатный режимы) используются преимущественно и. п. лежа с приподнятым положением головы; во второй половине курса ЛФК (свободный режим) преимущественно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 сидя и стоя. При выраженных жалобах больного на головные боли, тяжесть в голове и др. выполнение физических упражнений в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 лежа исключается и заменяется выполнением упражнений в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 сидя. Таким образом, в процессе занятий ЛГ физические упражнения выполняются в различных исходных положениях для всех мышечных.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Занятия ЛГ целесообразно начинать с использования доступных для выполнения гимнастических упражнений, не предъявля</w:t>
      </w:r>
      <w:r w:rsidRPr="00C70285">
        <w:rPr>
          <w:rFonts w:ascii="Times New Roman" w:hAnsi="Times New Roman" w:cs="Times New Roman"/>
          <w:sz w:val="28"/>
          <w:szCs w:val="28"/>
        </w:rPr>
        <w:softHyphen/>
        <w:t xml:space="preserve">ющих повышенных требований к сердечно-сосудистой и нервной системам. При свободном </w:t>
      </w:r>
      <w:r w:rsidRPr="00C70285">
        <w:rPr>
          <w:rFonts w:ascii="Times New Roman" w:hAnsi="Times New Roman" w:cs="Times New Roman"/>
          <w:sz w:val="28"/>
          <w:szCs w:val="28"/>
        </w:rPr>
        <w:lastRenderedPageBreak/>
        <w:t>двигательном режиме упражнения постепенно усложняются; нагрузку распределяют на все мышечные группы, что способствует мобилизации экстракардиальных факторов кровообращения. Применяются упражнения динамического и статического характера, упражнения на расслабление, дыхательные упражнения, которые выполняются в медленном и среднем темпе, без значительного напряжения. Амплитуда движений не ограничена; дыхание произвольное, спокойное. В начале и в конце занятия ЛГ предпочтительно применять элементы аутотренинга и массаж воротниковой зоны. Занятия желательно проводить в отдельном, хорошо вентилируемом помещении, под музыкаль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ное сопровождение (используется фоновая, не возбуждающая, не очень громкая и не навязывающая ритм, музыка). Объяснения и команды инструктор ЛФК произносит спокойным, негромким голосом с замедленной дикцией. Это особенно важно для больных ГБ при повышенной возбудимости и склонности к тахикардии, не связанной с сердечной недостаточностью, что в значительной мере способствует психологической релаксации. У больных II и III стадий заболевания с осложнениями использование средств ЛФК в большей степени лимитируется выраженностью ИБС, атеросклерозом сосудов головного мозга и почек, а не собственно ГБ. Для этих больных дозировка физических упражнений определяется с учетом имеющихся осложнений и других сопутствующих заболеваний. При этом не следует применять физические упражнения с выраженным усилием и волевым напряжением, с большим объемом движений туловищем и головой, а также совершать резкие и быстрые движения. Для больных III стадии заболевания плотность нагрузки уменьшается - за счет введения кратковременных пауз отдыха между упражнениями, применения дыхательных упражнений и упражнений в расслаблении мышц, а также массажа воротниковой зоны и головы. Больным ГБ, страдающим головокружениями и нарушением статико-динамической устойчивости, дополнительно назначается тренировка вестибулярного аппарата (упражнения на сохранение равновесия, изменения положения головы в пространстве, упражнения с закрытыми глазами, для мышц глаз и др.).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Методика ЛФК на санаторном этапе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В зависимости от тяжести течения ГБ, функциональных возможностей и индивидуальных особенностей больных, их разделяют на три функциональные группы.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К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функциональной группе</w:t>
      </w:r>
      <w:r w:rsidRPr="00C70285">
        <w:rPr>
          <w:rFonts w:ascii="Times New Roman" w:hAnsi="Times New Roman" w:cs="Times New Roman"/>
          <w:sz w:val="28"/>
          <w:szCs w:val="28"/>
        </w:rPr>
        <w:t xml:space="preserve"> относятся лица, предрасположенные к развитию ГБ, т.е. имеющие такие факторы риска, как периодически возникающая артериальная </w:t>
      </w:r>
      <w:r w:rsidR="00394213">
        <w:rPr>
          <w:rFonts w:ascii="Times New Roman" w:hAnsi="Times New Roman" w:cs="Times New Roman"/>
          <w:sz w:val="28"/>
          <w:szCs w:val="28"/>
        </w:rPr>
        <w:t xml:space="preserve">гипертензия (АД более 140/90 мм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.), ожирение I степени,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гиперхолестеринемия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, гипергликемия, низкий уровень физической работоспособности. </w:t>
      </w:r>
      <w:r w:rsidRPr="00C70285">
        <w:rPr>
          <w:rFonts w:ascii="Times New Roman" w:hAnsi="Times New Roman" w:cs="Times New Roman"/>
          <w:i/>
          <w:sz w:val="28"/>
          <w:szCs w:val="28"/>
        </w:rPr>
        <w:t>Основные задачи ЛФК</w:t>
      </w:r>
      <w:r w:rsidRPr="00C70285">
        <w:rPr>
          <w:rFonts w:ascii="Times New Roman" w:hAnsi="Times New Roman" w:cs="Times New Roman"/>
          <w:sz w:val="28"/>
          <w:szCs w:val="28"/>
        </w:rPr>
        <w:t xml:space="preserve"> – профилактика развития ГБ и улучшение функционального состояния организма.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функциональной группе</w:t>
      </w:r>
      <w:r w:rsidRPr="00C70285">
        <w:rPr>
          <w:rFonts w:ascii="Times New Roman" w:hAnsi="Times New Roman" w:cs="Times New Roman"/>
          <w:sz w:val="28"/>
          <w:szCs w:val="28"/>
        </w:rPr>
        <w:t xml:space="preserve"> относятся лица в основном с I и II стадиями ГБ (АДС в пределах 160-</w:t>
      </w:r>
      <w:smartTag w:uri="urn:schemas-microsoft-com:office:smarttags" w:element="metricconverter">
        <w:smartTagPr>
          <w:attr w:name="ProductID" w:val="18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180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 и АДД в пределах </w:t>
      </w:r>
      <w:smartTag w:uri="urn:schemas-microsoft-com:office:smarttags" w:element="metricconverter">
        <w:smartTagPr>
          <w:attr w:name="ProductID" w:val="105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105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.), протекающими без обострений и осложнений в прошлом.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Основные задачи ЛФК</w:t>
      </w:r>
      <w:r w:rsidRPr="00C70285">
        <w:rPr>
          <w:rFonts w:ascii="Times New Roman" w:hAnsi="Times New Roman" w:cs="Times New Roman"/>
          <w:sz w:val="28"/>
          <w:szCs w:val="28"/>
        </w:rPr>
        <w:t xml:space="preserve"> для данной категории больных: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предупреждение прогрессирования болезни;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повышение физической и общей трудоспособности, а также качества жизни.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К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функциональной группе</w:t>
      </w:r>
      <w:r w:rsidRPr="00C70285">
        <w:rPr>
          <w:rFonts w:ascii="Times New Roman" w:hAnsi="Times New Roman" w:cs="Times New Roman"/>
          <w:sz w:val="28"/>
          <w:szCs w:val="28"/>
        </w:rPr>
        <w:t xml:space="preserve"> относятся лица, имеющие II и III стадии ГБ, страдающие обострениями ГБ (гипертоническими кризами) или имеющие остаточные явления перенесенного нарушения мозгового кровообращения, ИБС (стенокардию напряжения), послеинфарктный кардиосклероз, недостаточность кровообращения I и II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степеней).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Основные задачи ЛФК: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оптимальная активизация, повышение функциональных возможностей систем жизнеобеспечения организма;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восстановление и сохранение трудоспособности;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профилактика обострений и осложнений ГБ;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повышение качества жизни.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Таким образом, формирование функциональных групп позволяет индивидуализировать санаторную программу физической реабилитации в зависимости от стадии болезни. Главное различие между программами физической реабилитации заключается в интенсивности и объеме применяемых физических нагрузок с использованием имеющихся средств ЛФК.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При реализации программ физической реабилитации в санаторных условиях используются следующие виды двигательных режимов: </w:t>
      </w:r>
      <w:r w:rsidRPr="00C70285">
        <w:rPr>
          <w:rFonts w:ascii="Times New Roman" w:hAnsi="Times New Roman" w:cs="Times New Roman"/>
          <w:i/>
          <w:sz w:val="28"/>
          <w:szCs w:val="28"/>
        </w:rPr>
        <w:t>щадящий</w:t>
      </w:r>
      <w:r w:rsidRPr="00C70285">
        <w:rPr>
          <w:rFonts w:ascii="Times New Roman" w:hAnsi="Times New Roman" w:cs="Times New Roman"/>
          <w:sz w:val="28"/>
          <w:szCs w:val="28"/>
        </w:rPr>
        <w:t xml:space="preserve"> (1-3 дня), </w:t>
      </w:r>
      <w:r w:rsidRPr="00C70285">
        <w:rPr>
          <w:rFonts w:ascii="Times New Roman" w:hAnsi="Times New Roman" w:cs="Times New Roman"/>
          <w:i/>
          <w:sz w:val="28"/>
          <w:szCs w:val="28"/>
        </w:rPr>
        <w:t>щадяще-тренировочный</w:t>
      </w:r>
      <w:r w:rsidRPr="00C70285">
        <w:rPr>
          <w:rFonts w:ascii="Times New Roman" w:hAnsi="Times New Roman" w:cs="Times New Roman"/>
          <w:sz w:val="28"/>
          <w:szCs w:val="28"/>
        </w:rPr>
        <w:t xml:space="preserve"> (7-10 дней) и </w:t>
      </w:r>
      <w:r w:rsidRPr="00C70285">
        <w:rPr>
          <w:rFonts w:ascii="Times New Roman" w:hAnsi="Times New Roman" w:cs="Times New Roman"/>
          <w:i/>
          <w:sz w:val="28"/>
          <w:szCs w:val="28"/>
        </w:rPr>
        <w:t>тренировочный</w:t>
      </w:r>
      <w:r w:rsidRPr="00C70285">
        <w:rPr>
          <w:rFonts w:ascii="Times New Roman" w:hAnsi="Times New Roman" w:cs="Times New Roman"/>
          <w:sz w:val="28"/>
          <w:szCs w:val="28"/>
        </w:rPr>
        <w:t xml:space="preserve"> (10-14 дней). Восстановительное лечение больных ГБ в условиях санатория не должно ограничиваться применением только ЛГ с использованием общеразвивающих и специальных упражнений (динамического и статического характера, с применением различных отягощений, снарядов, тренажеров и т.д.) в различном сочетании и соотношении. В двигательный режим це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лесообразно включать УГГ и другие виды активной двигательной деятельности: дозированные ходьбу и пешие прогулки по ровной местности, терренкур, подъем по лестнице, ближний и дальний туризм, бег трусцой, плавание в открытом водоеме и в бассейне, греблю, катание на велосипеде и на лыжах, подвижные и спортивные игры (волейбол, бадминтон, теннис и настольный теннис, элементы баскетбола и др.). В качестве рекреационных средств могут применяться танцы, настольные игры (шашки, шахматы, бильярд и др.), малоподвижные игры (крокет, городки, кегельбан и др.). Двигательный режим у некоторых больных ГБ может расширяться за счет самостоятельных занятий физическими упражнениями. На занятиях ЛГ преимущественно используется групповой метод. Комплексы ЛГ для самостоятельных занятий, как правило, состоят из общеразвивающих и специальных упражнений, которые выполняются в течение дня многократно.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lastRenderedPageBreak/>
        <w:t>В санаторных условиях в настоящее время широко применяются интервальный метод дозирования физических нагрузок, а также круговой метод проведения занятий ЛГ с использованием раз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личных тренажеров (велоэргометры, «бегущие дорожки», гребной тренажер, комплексы «Здоровье», «Давид», тренажеры фирмы «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Кеттлер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» и др.). Обязательно индивидуальное дозирование на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грузок при работе на каждом тренажере для каждого больного ГБ. При интервальном методе дозирования нагрузок интервалы отдыха между упражнениями зависят от функционального состояния больного и от интенсивности (мощности) выполняемой работы.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Для перевода больного ГБ с одного двигательного режима на другой необходимо учитывать его клиническое состояние, уровень подготовленности к данному двигательному режиму, ответную реакцию организма на дозированную физическую нагрузку по АД, ЧСС и другим клинико-физиологическим показателям.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Так, например, первая программа предназначена преимущественно для лиц среднего возраста (до 60 лет), отнесенных к I функциональной группе, имеющих относительно высокий функциональный уровень сердечно-сосудистой системы (I функциональный класс по ИБС); для них мощность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субмаксимальной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 нагрузки на велоэргометре составляет 100-150 Вт и более. В первую очередь эта программа назначается пациентам, имеющим возможность достигнуть такого уровня физической активности, который позволит им перейти к регулярным занятиям спортивными упражнениями (бег, лыжи, велосипед, плавание, гребля, волейбол, теннис и т.д.). Для лиц этой категории больных используется тренирующий двигательный режим, который в дальнейшем, при соответствующей корректировке, они могут использовать в поликлинических условиях или самостоятельно. Эта же программа может быть рекомендована и некоторым больным с I стадией ГБ.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Различные физические нагрузки в течение дня следует чередовать с пассивным отдыхом на свежем воздухе; также следует учитывать сочетание и соотношение медикаментозных и немедикаментозных средств реабилитации. Занятия ЛГ и другие виды двигательной деятельности применяются за 1,5-2 ч до приема ванн; при приеме грязевых процедур – через 30-40 мин, при приеме пищи – через 2 ч и т.д.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Тренировку в дозированной ходьбе, беге, ходьбе на лыжах и др. необходимо назначать в любую погоду, но при температуре не ниже-15 °С.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Перед назначением тренировочной ходьбы больного необходимо обучить правильному ритму дыхания – при ходьбе по ровной местности, при подъеме по лестнице и в гору (терренкур) и т.д.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Маршруты ходьбы, ее скорость, паузы отдыха выбираются с учетом постепенности повышения нагрузки и адаптации к ней больного. При подъемах в гору скорость ходьбы в начале занятий не должна превышать 50-60 шаг/мин. При тренировке в ходьбе могут быть использованы следующие разновидности темпа: 60-70 шаг/мин – темп медленный (скорость 3,0-</w:t>
      </w:r>
      <w:smartTag w:uri="urn:schemas-microsoft-com:office:smarttags" w:element="metricconverter">
        <w:smartTagPr>
          <w:attr w:name="ProductID" w:val="3,5 км/ч"/>
        </w:smartTagPr>
        <w:r w:rsidRPr="00C70285">
          <w:rPr>
            <w:rFonts w:ascii="Times New Roman" w:hAnsi="Times New Roman" w:cs="Times New Roman"/>
            <w:sz w:val="28"/>
            <w:szCs w:val="28"/>
          </w:rPr>
          <w:t>3,5 км/ч</w:t>
        </w:r>
      </w:smartTag>
      <w:r w:rsidRPr="00C70285">
        <w:rPr>
          <w:rFonts w:ascii="Times New Roman" w:hAnsi="Times New Roman" w:cs="Times New Roman"/>
          <w:sz w:val="28"/>
          <w:szCs w:val="28"/>
        </w:rPr>
        <w:t xml:space="preserve">, что соответствует мощности нагрузки около 200-250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/мин и ЧСС в пределах 110-120 уд/мин); 70-80 шаг/мин – темп средний (скорость 3,5-</w:t>
      </w:r>
      <w:smartTag w:uri="urn:schemas-microsoft-com:office:smarttags" w:element="metricconverter">
        <w:smartTagPr>
          <w:attr w:name="ProductID" w:val="4,0 км/ч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4,0 </w:t>
        </w:r>
        <w:r w:rsidRPr="00C70285">
          <w:rPr>
            <w:rFonts w:ascii="Times New Roman" w:hAnsi="Times New Roman" w:cs="Times New Roman"/>
            <w:sz w:val="28"/>
            <w:szCs w:val="28"/>
          </w:rPr>
          <w:lastRenderedPageBreak/>
          <w:t>км/ч</w:t>
        </w:r>
      </w:smartTag>
      <w:r w:rsidRPr="00C70285">
        <w:rPr>
          <w:rFonts w:ascii="Times New Roman" w:hAnsi="Times New Roman" w:cs="Times New Roman"/>
          <w:sz w:val="28"/>
          <w:szCs w:val="28"/>
        </w:rPr>
        <w:t>); 80-90 шаг/мин – темп быстрый (скорость 4,5-</w:t>
      </w:r>
      <w:smartTag w:uri="urn:schemas-microsoft-com:office:smarttags" w:element="metricconverter">
        <w:smartTagPr>
          <w:attr w:name="ProductID" w:val="5,0 км/ч"/>
        </w:smartTagPr>
        <w:r w:rsidRPr="00C70285">
          <w:rPr>
            <w:rFonts w:ascii="Times New Roman" w:hAnsi="Times New Roman" w:cs="Times New Roman"/>
            <w:sz w:val="28"/>
            <w:szCs w:val="28"/>
          </w:rPr>
          <w:t>5,0 км/ч</w:t>
        </w:r>
      </w:smartTag>
      <w:r w:rsidRPr="00C70285">
        <w:rPr>
          <w:rFonts w:ascii="Times New Roman" w:hAnsi="Times New Roman" w:cs="Times New Roman"/>
          <w:sz w:val="28"/>
          <w:szCs w:val="28"/>
        </w:rPr>
        <w:t xml:space="preserve">); 100 шаг/мин и более – темп очень быстрый (скорость более </w:t>
      </w:r>
      <w:smartTag w:uri="urn:schemas-microsoft-com:office:smarttags" w:element="metricconverter">
        <w:smartTagPr>
          <w:attr w:name="ProductID" w:val="5 км/ч"/>
        </w:smartTagPr>
        <w:r w:rsidRPr="00C70285">
          <w:rPr>
            <w:rFonts w:ascii="Times New Roman" w:hAnsi="Times New Roman" w:cs="Times New Roman"/>
            <w:sz w:val="28"/>
            <w:szCs w:val="28"/>
          </w:rPr>
          <w:t>5 км/ч</w:t>
        </w:r>
      </w:smartTag>
      <w:r w:rsidRPr="00C70285">
        <w:rPr>
          <w:rFonts w:ascii="Times New Roman" w:hAnsi="Times New Roman" w:cs="Times New Roman"/>
          <w:sz w:val="28"/>
          <w:szCs w:val="28"/>
        </w:rPr>
        <w:t xml:space="preserve">, что соответствует мощности нагрузки более 400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/мин и ЧСС 130-140 уд/мин) (А.И. Романов и др., 1979).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В рамках расширения активного двигательного режима в санаторных условиях, в зависимости от общего состояния больного ГБ и субъективных проявлений заболевания применяются подвижные и спортивные игры. Их задача – не только различное по характеру и степени воздействие физических нагрузок, но и главным образом создание у больных положительных эмоций, повышающих их общую и профессиональную работоспособность и создающих фон бодрости и активности в поведении. Следует учитывать, что возникающие в процессе игры эмоции как бы отдаляют наступление усталости, поэтому во избежание перегрузки организма следует проводить игры по упрощенным правилам, делать; паузы отдыха, вводить в игру объяснение, выполнение дыхательных упражнений, упражнений на расслабление,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, элементы самомассажа и др.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Важными факторами восстановительной терапии для сохранения и укрепления здоровья больных ГБ, для повышения резистентности (устойчивости) к неблагоприятным факторам внешней) и внутренней среды является использование (параллельно с дозированной физической тренировкой) закаливающего воздействия естественных природных факторов (солнца, воздуха и воды), а также воздействие климатических условий.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Методика ЛФК на поликлиническом этапе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Среди больных ГБ большинство имеют I и II стадии заболевания, которое протекает без обострений и осложнений. Как правило, такие больные (около 80%) лечатся амбулаторно. В связи с этим для многих из них могут использоваться адаптированные варианты программ физической реабилитации для I и II функциональных групп, применяемых в санаторных условиях. Важней принципом эффективной восстановительной терапии больных ГБ методами и средствами ЛФК является регулярность их применения (не отдельными курсами, а в течение всей жизни) при оптимально подобранных для каждого больного дозировках, по интенсивности и объему, при систематической коррекции двигательного режима специалистом ЛФК (в зависимости от текущего функционального состояния больного ГБ). Достаточный тренировочный эффект физической тренировки в поликлинических условиях достигается, если она продолжается не менее 30 мин - при оптимальном соответствии интенсивности ее воздействия функциональному состоянию больного. Количество занятий ЛФК в неделю – 4-5 раз. При использовании интенсивных физических нагрузок в поликлинических условиях (под руководством специалиста по ЛФК или самостоятельно) необходим строгий учет всех видов нагрузок (эмоциональных, физических, бытовых, профессиональных и др.), которые испытывает больной в течение дня.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2C43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4385">
        <w:rPr>
          <w:rFonts w:ascii="Times New Roman" w:hAnsi="Times New Roman" w:cs="Times New Roman"/>
          <w:bCs/>
          <w:i/>
          <w:sz w:val="28"/>
          <w:szCs w:val="28"/>
        </w:rPr>
        <w:lastRenderedPageBreak/>
        <w:t>Массаж при гипертонической болезни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385">
        <w:rPr>
          <w:rFonts w:ascii="Times New Roman" w:hAnsi="Times New Roman" w:cs="Times New Roman"/>
          <w:iCs/>
          <w:sz w:val="28"/>
          <w:szCs w:val="28"/>
        </w:rPr>
        <w:t>План массажа</w:t>
      </w:r>
      <w:r w:rsidRPr="002C4385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2C4385">
        <w:rPr>
          <w:rFonts w:ascii="Times New Roman" w:hAnsi="Times New Roman" w:cs="Times New Roman"/>
          <w:sz w:val="28"/>
          <w:szCs w:val="28"/>
        </w:rPr>
        <w:t xml:space="preserve">воздействие на </w:t>
      </w:r>
      <w:proofErr w:type="spellStart"/>
      <w:r w:rsidRPr="002C4385">
        <w:rPr>
          <w:rFonts w:ascii="Times New Roman" w:hAnsi="Times New Roman" w:cs="Times New Roman"/>
          <w:sz w:val="28"/>
          <w:szCs w:val="28"/>
        </w:rPr>
        <w:t>паравертебральные</w:t>
      </w:r>
      <w:proofErr w:type="spellEnd"/>
      <w:r w:rsidRPr="002C4385">
        <w:rPr>
          <w:rFonts w:ascii="Times New Roman" w:hAnsi="Times New Roman" w:cs="Times New Roman"/>
          <w:sz w:val="28"/>
          <w:szCs w:val="28"/>
        </w:rPr>
        <w:t xml:space="preserve"> зоны шейных и </w:t>
      </w:r>
      <w:proofErr w:type="spellStart"/>
      <w:r w:rsidRPr="002C4385">
        <w:rPr>
          <w:rFonts w:ascii="Times New Roman" w:hAnsi="Times New Roman" w:cs="Times New Roman"/>
          <w:sz w:val="28"/>
          <w:szCs w:val="28"/>
        </w:rPr>
        <w:t>верхнегрудных</w:t>
      </w:r>
      <w:proofErr w:type="spellEnd"/>
      <w:r w:rsidRPr="002C4385">
        <w:rPr>
          <w:rFonts w:ascii="Times New Roman" w:hAnsi="Times New Roman" w:cs="Times New Roman"/>
          <w:sz w:val="28"/>
          <w:szCs w:val="28"/>
        </w:rPr>
        <w:t xml:space="preserve"> спинномозговых сегментов. Массаж головы, шеи, воротниковой зоны. Продол</w:t>
      </w:r>
      <w:r w:rsidRPr="002C4385">
        <w:rPr>
          <w:rFonts w:ascii="Times New Roman" w:hAnsi="Times New Roman" w:cs="Times New Roman"/>
          <w:sz w:val="28"/>
          <w:szCs w:val="28"/>
        </w:rPr>
        <w:softHyphen/>
        <w:t>жительность процедуры 15—20 мин. Курс лечения — 12—15 сеансов.</w:t>
      </w:r>
    </w:p>
    <w:p w:rsidR="00864E29" w:rsidRPr="00C70285" w:rsidRDefault="00864E29" w:rsidP="00864E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Гипотоническая болезнь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Гипотоническая болезнь характеризуется понижением артериального давления вследствие нарушения функций систем, регулирующих кровообращение. Расстройство механизмов регуляции заключается в нарушении функции высших вегетативных центров, приводящих к повышению тонуса парасимпатической нервной системы и снижению активности гормональной функции коры надпочечников. Все это вызывает стойкое уменьшение периферического сопротивления артерий и снижение максимального давления более </w:t>
      </w:r>
      <w:smartTag w:uri="urn:schemas-microsoft-com:office:smarttags" w:element="metricconverter">
        <w:smartTagPr>
          <w:attr w:name="ProductID" w:val="10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100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., минимального - более </w:t>
      </w:r>
      <w:smartTag w:uri="urn:schemas-microsoft-com:office:smarttags" w:element="metricconverter">
        <w:smartTagPr>
          <w:attr w:name="ProductID" w:val="6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60 мм</w:t>
        </w:r>
      </w:smartTag>
      <w:r w:rsidR="00394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Различают первичную и вторичную артериальную гипотензию. </w:t>
      </w:r>
      <w:r w:rsidRPr="00C70285">
        <w:rPr>
          <w:rFonts w:ascii="Times New Roman" w:hAnsi="Times New Roman" w:cs="Times New Roman"/>
          <w:i/>
          <w:sz w:val="28"/>
          <w:szCs w:val="28"/>
        </w:rPr>
        <w:t>Первичная гипотензия</w:t>
      </w:r>
      <w:r w:rsidRPr="00C70285">
        <w:rPr>
          <w:rFonts w:ascii="Times New Roman" w:hAnsi="Times New Roman" w:cs="Times New Roman"/>
          <w:sz w:val="28"/>
          <w:szCs w:val="28"/>
        </w:rPr>
        <w:t xml:space="preserve"> проявляется в двух вариантах – как конституционно-наследственная форма регуляции сосудистого тонуса и артериального давления, не выходящая за физиологические пределы («физиологическая гипотензия»), и как хроническое заболевание с типичной картиной. </w:t>
      </w:r>
      <w:r w:rsidRPr="00C70285">
        <w:rPr>
          <w:rFonts w:ascii="Times New Roman" w:hAnsi="Times New Roman" w:cs="Times New Roman"/>
          <w:i/>
          <w:sz w:val="28"/>
          <w:szCs w:val="28"/>
        </w:rPr>
        <w:t>Вторичная гипотензия</w:t>
      </w:r>
      <w:r w:rsidRPr="00C70285">
        <w:rPr>
          <w:rFonts w:ascii="Times New Roman" w:hAnsi="Times New Roman" w:cs="Times New Roman"/>
          <w:sz w:val="28"/>
          <w:szCs w:val="28"/>
        </w:rPr>
        <w:t xml:space="preserve"> встречается у лиц, подвергающихся воздействию неблагоприятных факторов (напряженная умственная или физическая работа, шум, интоксикация), а также при инфекционных хронических заболеваниях, анемии, туберкулезе, злокачественных опухолях, авитаминозе и др.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Для гипотонической болезни характерно хроническое течение. Больные жалуются на слабость, вялость, апатию, головные боли, головокружения, ухудшение памяти, снижение работоспособности, обмороки, боли в области сердца.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В комплексном лечении применяются тонизирующие медикаментозные и физиотерапевтические средства, препараты, повы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шающие тонус сосудов, лечебная физкультура.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Основными задачами ЛФК</w:t>
      </w:r>
      <w:r w:rsidRPr="00C70285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общее укрепление организма, повышение работоспособности и эмоционального тонуса;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улучшение функционального состояния центральной нервной системы и систем, регулирующих кровообращение;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тренировка всех органов и систем (особенно сердечно-сосудистой и мышечной);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совершенствование координации движений, равновесия, произвольного расслабления и сокращения мышц (И. Б. Темкин).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Занятия ЛФК следует начинать при начальных признаках заболевания, так как в этом случае результаты лечения будут наиболее эффективными; они проводятся в профилакториях, санаториях и поликлиниках. Режим дня должен быть насыщен различными формами лечебной физкультуры. </w:t>
      </w:r>
      <w:r w:rsidRPr="00C70285">
        <w:rPr>
          <w:rFonts w:ascii="Times New Roman" w:hAnsi="Times New Roman" w:cs="Times New Roman"/>
          <w:sz w:val="28"/>
          <w:szCs w:val="28"/>
        </w:rPr>
        <w:lastRenderedPageBreak/>
        <w:t>Обязательны занятия УГГ, так как именно по утрам отмечаются вялость и слабость, ухудшение самочувствия. УГГ оказывает возбуждающее действие на центральную нервную систему, тонизирует весь организм, обеспечивает быстрый переход к активной деятельности.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ЛГ в начале курса лечения направлена на адаптацию организма к физическим нагрузкам. Физические упражнения выполняются в исходных положениях сидя и стоя, без отягощений, с тонизирующей дозировкой. В занятие включается небольшое количество специальных упражнений; плотность занятия невысокая. Во время основного курса лечения увеличивается количество специальных упражнений. К ним относятся упражнения с отягощениями (гантелями, набивными мячами весом 1-</w:t>
      </w:r>
      <w:smartTag w:uri="urn:schemas-microsoft-com:office:smarttags" w:element="metricconverter">
        <w:smartTagPr>
          <w:attr w:name="ProductID" w:val="2 кг"/>
        </w:smartTagPr>
        <w:r w:rsidRPr="00C70285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Pr="00C70285">
        <w:rPr>
          <w:rFonts w:ascii="Times New Roman" w:hAnsi="Times New Roman" w:cs="Times New Roman"/>
          <w:sz w:val="28"/>
          <w:szCs w:val="28"/>
        </w:rPr>
        <w:t>); упражнения с сопротивлением (с партнером, на тренажерах, с эспандерами); изометрические напряжения мышц (удержание гантелей в вытянутых руках, противодействие выполнению движения); скоростно-силовые упражнения (бег, прыжки, подскоки и т.п.); упражнения на координацию движений (жонглирование различными предметами, асимметричные движения конечностями и др.); тренировка вестибулярного аппарата (движения головой, сохранение равновесия на месте и в движении, с открытыми и закрытыми глазами); дыхательные упражнения (обучение правильному дыханию в покое и при выполнении движений). Специальные упражнения сочетаются и чередуются с общеразвивающими упражнениями и упражнениями в расслаблении мышц. Исходные положения – стоя, сидя и лежа. Плотность занятия увеличивается, хотя после силовых и скоростно-силовых упражнений используются паузы отдыха или дыхательные упражнения. Дозировка физической нагрузки – тренирующая.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При выраженных проявлениях заболевания занятия ЛГ проводятся по методике, используемой для недостаточности кровообращения I степени. Широко применяются упражнения для адаптации организма к изменениям положения тела.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Важной формой ЛФК является дозированная ходьба; дозировка зависит от состояния больного. Рекомендуется тонизирующая физическая нагрузка, вызывающая состояние бодрости.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На санаторном этапе лечения применяются различные игры (крокет, волейбол, настольный теннис, бадминтон) и спортивно прикладные упражнения (ходьба на лыжах, плавание, гребля), которые должны строго дозироваться. Нагрузки должны носить тонизирующий характер.</w:t>
      </w:r>
    </w:p>
    <w:p w:rsidR="00864E29" w:rsidRPr="002C4385" w:rsidRDefault="00864E29" w:rsidP="00864E2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2C43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4385">
        <w:rPr>
          <w:rFonts w:ascii="Times New Roman" w:hAnsi="Times New Roman" w:cs="Times New Roman"/>
          <w:bCs/>
          <w:i/>
          <w:sz w:val="28"/>
          <w:szCs w:val="28"/>
        </w:rPr>
        <w:t>Массаж при артериальной гипотензии</w:t>
      </w:r>
    </w:p>
    <w:p w:rsidR="00864E29" w:rsidRPr="002C43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385">
        <w:rPr>
          <w:rFonts w:ascii="Times New Roman" w:hAnsi="Times New Roman" w:cs="Times New Roman"/>
          <w:iCs/>
          <w:sz w:val="28"/>
          <w:szCs w:val="28"/>
        </w:rPr>
        <w:t>План массажа</w:t>
      </w:r>
      <w:r w:rsidRPr="002C4385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2C4385">
        <w:rPr>
          <w:rFonts w:ascii="Times New Roman" w:hAnsi="Times New Roman" w:cs="Times New Roman"/>
          <w:sz w:val="28"/>
          <w:szCs w:val="28"/>
        </w:rPr>
        <w:t>воздействие</w:t>
      </w:r>
      <w:r w:rsidR="0039421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94213">
        <w:rPr>
          <w:rFonts w:ascii="Times New Roman" w:hAnsi="Times New Roman" w:cs="Times New Roman"/>
          <w:sz w:val="28"/>
          <w:szCs w:val="28"/>
        </w:rPr>
        <w:t>паравертебральные</w:t>
      </w:r>
      <w:proofErr w:type="spellEnd"/>
      <w:r w:rsidR="00394213">
        <w:rPr>
          <w:rFonts w:ascii="Times New Roman" w:hAnsi="Times New Roman" w:cs="Times New Roman"/>
          <w:sz w:val="28"/>
          <w:szCs w:val="28"/>
        </w:rPr>
        <w:t xml:space="preserve"> зоны спин</w:t>
      </w:r>
      <w:r w:rsidRPr="002C4385">
        <w:rPr>
          <w:rFonts w:ascii="Times New Roman" w:hAnsi="Times New Roman" w:cs="Times New Roman"/>
          <w:sz w:val="28"/>
          <w:szCs w:val="28"/>
        </w:rPr>
        <w:t>номозговых сегментов.</w:t>
      </w:r>
    </w:p>
    <w:p w:rsidR="00864E29" w:rsidRPr="002C43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385">
        <w:rPr>
          <w:rFonts w:ascii="Times New Roman" w:hAnsi="Times New Roman" w:cs="Times New Roman"/>
          <w:sz w:val="28"/>
          <w:szCs w:val="28"/>
        </w:rPr>
        <w:t>Рекомендуется легкий массаж</w:t>
      </w:r>
      <w:r w:rsidR="00394213">
        <w:rPr>
          <w:rFonts w:ascii="Times New Roman" w:hAnsi="Times New Roman" w:cs="Times New Roman"/>
          <w:sz w:val="28"/>
          <w:szCs w:val="28"/>
        </w:rPr>
        <w:t>; его методика и дозировка зави</w:t>
      </w:r>
      <w:r w:rsidRPr="002C4385">
        <w:rPr>
          <w:rFonts w:ascii="Times New Roman" w:hAnsi="Times New Roman" w:cs="Times New Roman"/>
          <w:sz w:val="28"/>
          <w:szCs w:val="28"/>
        </w:rPr>
        <w:t xml:space="preserve">сят от состояния, клинического </w:t>
      </w:r>
      <w:r w:rsidR="00394213">
        <w:rPr>
          <w:rFonts w:ascii="Times New Roman" w:hAnsi="Times New Roman" w:cs="Times New Roman"/>
          <w:sz w:val="28"/>
          <w:szCs w:val="28"/>
        </w:rPr>
        <w:t>проявления болезни и переносимо</w:t>
      </w:r>
      <w:bookmarkStart w:id="0" w:name="_GoBack"/>
      <w:bookmarkEnd w:id="0"/>
      <w:r w:rsidRPr="002C4385">
        <w:rPr>
          <w:rFonts w:ascii="Times New Roman" w:hAnsi="Times New Roman" w:cs="Times New Roman"/>
          <w:sz w:val="28"/>
          <w:szCs w:val="28"/>
        </w:rPr>
        <w:t>сти процедуры.</w:t>
      </w:r>
    </w:p>
    <w:p w:rsidR="00864E29" w:rsidRPr="004C0EF8" w:rsidRDefault="00864E29" w:rsidP="00864E29">
      <w:pPr>
        <w:rPr>
          <w:rFonts w:ascii="Times New Roman" w:hAnsi="Times New Roman" w:cs="Times New Roman"/>
          <w:sz w:val="28"/>
          <w:szCs w:val="28"/>
        </w:rPr>
      </w:pPr>
    </w:p>
    <w:p w:rsidR="001E22DB" w:rsidRPr="00864E29" w:rsidRDefault="001E22DB" w:rsidP="00864E29"/>
    <w:sectPr w:rsidR="001E22DB" w:rsidRPr="00864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6D88"/>
    <w:rsid w:val="00016F0A"/>
    <w:rsid w:val="001E22DB"/>
    <w:rsid w:val="00394213"/>
    <w:rsid w:val="00864E29"/>
    <w:rsid w:val="00CB30DF"/>
    <w:rsid w:val="00F37CAE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2AD587"/>
  <w15:docId w15:val="{D3E726E9-EF18-40E4-967F-85A3E8B22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3163</Words>
  <Characters>18033</Characters>
  <Application>Microsoft Office Word</Application>
  <DocSecurity>0</DocSecurity>
  <Lines>150</Lines>
  <Paragraphs>42</Paragraphs>
  <ScaleCrop>false</ScaleCrop>
  <Company/>
  <LinksUpToDate>false</LinksUpToDate>
  <CharactersWithSpaces>21154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2019-11-04T08:54:00Z</dcterms:created>
  <dcterms:modified xsi:type="dcterms:W3CDTF">2021-03-06T07:54:00Z</dcterms:modified>
</cp:coreProperties>
</file>